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448" w:rsidRDefault="00300448" w:rsidP="00300448">
      <w:pPr>
        <w:spacing w:after="0" w:line="480" w:lineRule="auto"/>
        <w:ind w:firstLine="720"/>
        <w:jc w:val="center"/>
        <w:rPr>
          <w:rFonts w:ascii="Times New Roman" w:hAnsi="Times New Roman" w:cs="Times New Roman"/>
          <w:sz w:val="24"/>
          <w:szCs w:val="24"/>
        </w:rPr>
      </w:pPr>
    </w:p>
    <w:p w:rsidR="00300448" w:rsidRDefault="00300448" w:rsidP="00300448">
      <w:pPr>
        <w:spacing w:after="0" w:line="480" w:lineRule="auto"/>
        <w:ind w:firstLine="720"/>
        <w:jc w:val="center"/>
        <w:rPr>
          <w:rFonts w:ascii="Times New Roman" w:hAnsi="Times New Roman" w:cs="Times New Roman"/>
          <w:sz w:val="24"/>
          <w:szCs w:val="24"/>
        </w:rPr>
      </w:pPr>
    </w:p>
    <w:p w:rsidR="00300448" w:rsidRDefault="00300448" w:rsidP="00300448">
      <w:pPr>
        <w:spacing w:after="0" w:line="480" w:lineRule="auto"/>
        <w:ind w:firstLine="720"/>
        <w:jc w:val="center"/>
        <w:rPr>
          <w:rFonts w:ascii="Times New Roman" w:hAnsi="Times New Roman" w:cs="Times New Roman"/>
          <w:sz w:val="24"/>
          <w:szCs w:val="24"/>
        </w:rPr>
      </w:pPr>
    </w:p>
    <w:p w:rsidR="00300448" w:rsidRDefault="00300448" w:rsidP="00300448">
      <w:pPr>
        <w:spacing w:after="0" w:line="480" w:lineRule="auto"/>
        <w:ind w:firstLine="720"/>
        <w:jc w:val="center"/>
        <w:rPr>
          <w:rFonts w:ascii="Times New Roman" w:hAnsi="Times New Roman" w:cs="Times New Roman"/>
          <w:sz w:val="24"/>
          <w:szCs w:val="24"/>
        </w:rPr>
      </w:pPr>
    </w:p>
    <w:p w:rsidR="00300448" w:rsidRDefault="00300448" w:rsidP="00300448">
      <w:pPr>
        <w:spacing w:after="0" w:line="480" w:lineRule="auto"/>
        <w:ind w:firstLine="720"/>
        <w:jc w:val="center"/>
        <w:rPr>
          <w:rFonts w:ascii="Times New Roman" w:hAnsi="Times New Roman" w:cs="Times New Roman"/>
          <w:sz w:val="24"/>
          <w:szCs w:val="24"/>
        </w:rPr>
      </w:pPr>
    </w:p>
    <w:p w:rsidR="000420A3" w:rsidRDefault="000420A3" w:rsidP="00300448">
      <w:pPr>
        <w:spacing w:after="0" w:line="480" w:lineRule="auto"/>
        <w:ind w:firstLine="720"/>
        <w:jc w:val="center"/>
        <w:rPr>
          <w:rFonts w:ascii="Times New Roman" w:hAnsi="Times New Roman" w:cs="Times New Roman"/>
          <w:sz w:val="24"/>
          <w:szCs w:val="24"/>
        </w:rPr>
      </w:pPr>
      <w:bookmarkStart w:id="0" w:name="_GoBack"/>
      <w:bookmarkEnd w:id="0"/>
    </w:p>
    <w:p w:rsidR="00300448" w:rsidRDefault="00300448" w:rsidP="00300448">
      <w:pPr>
        <w:spacing w:after="0" w:line="480" w:lineRule="auto"/>
        <w:ind w:firstLine="720"/>
        <w:jc w:val="center"/>
        <w:rPr>
          <w:rFonts w:ascii="Times New Roman" w:hAnsi="Times New Roman" w:cs="Times New Roman"/>
          <w:sz w:val="24"/>
          <w:szCs w:val="24"/>
        </w:rPr>
      </w:pPr>
    </w:p>
    <w:p w:rsidR="00300448" w:rsidRDefault="00300448" w:rsidP="0030044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Cost </w:t>
      </w:r>
      <w:r w:rsidR="000420A3">
        <w:rPr>
          <w:rFonts w:ascii="Times New Roman" w:hAnsi="Times New Roman" w:cs="Times New Roman"/>
          <w:sz w:val="24"/>
          <w:szCs w:val="24"/>
        </w:rPr>
        <w:t>of Capital for a Public Corporation</w:t>
      </w:r>
    </w:p>
    <w:p w:rsidR="00300448" w:rsidRDefault="00300448" w:rsidP="0030044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00448" w:rsidRDefault="00300448" w:rsidP="0030044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300448" w:rsidRDefault="00300448">
      <w:pPr>
        <w:rPr>
          <w:rFonts w:ascii="Times New Roman" w:hAnsi="Times New Roman" w:cs="Times New Roman"/>
          <w:sz w:val="24"/>
          <w:szCs w:val="24"/>
        </w:rPr>
      </w:pPr>
      <w:r>
        <w:rPr>
          <w:rFonts w:ascii="Times New Roman" w:hAnsi="Times New Roman" w:cs="Times New Roman"/>
          <w:sz w:val="24"/>
          <w:szCs w:val="24"/>
        </w:rPr>
        <w:br w:type="page"/>
      </w:r>
    </w:p>
    <w:p w:rsidR="000420A3" w:rsidRDefault="000420A3" w:rsidP="000420A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Cost of Capital for a Public Corporation</w:t>
      </w:r>
    </w:p>
    <w:p w:rsidR="00A7261F" w:rsidRPr="00A7261F" w:rsidRDefault="00A7261F" w:rsidP="000420A3">
      <w:pPr>
        <w:spacing w:after="0" w:line="480" w:lineRule="auto"/>
        <w:ind w:firstLine="720"/>
        <w:jc w:val="both"/>
        <w:rPr>
          <w:rFonts w:ascii="Times New Roman" w:hAnsi="Times New Roman" w:cs="Times New Roman"/>
          <w:sz w:val="24"/>
          <w:szCs w:val="24"/>
        </w:rPr>
      </w:pPr>
      <w:r w:rsidRPr="00A7261F">
        <w:rPr>
          <w:rFonts w:ascii="Times New Roman" w:hAnsi="Times New Roman" w:cs="Times New Roman"/>
          <w:sz w:val="24"/>
          <w:szCs w:val="24"/>
        </w:rPr>
        <w:t xml:space="preserve">Both treasury bonds and notes are used by the U.S government to benchmark against other securities. Treasury bonds rate is used by the United States government as debt security. The interest of the bond is always fixed, and are regularly paid on a semiannual basis. The bond takes over ten years to mature, yet it is the most marketable security. Income obtained from the bonds is taxed by the federal government. This category of rate is considered as risk-free. The government issues them with a low possibility of default. </w:t>
      </w:r>
    </w:p>
    <w:p w:rsidR="00A7261F" w:rsidRPr="00A7261F" w:rsidRDefault="00A7261F" w:rsidP="000420A3">
      <w:pPr>
        <w:spacing w:after="0" w:line="480" w:lineRule="auto"/>
        <w:ind w:firstLine="720"/>
        <w:jc w:val="both"/>
        <w:rPr>
          <w:rFonts w:ascii="Times New Roman" w:hAnsi="Times New Roman" w:cs="Times New Roman"/>
          <w:sz w:val="24"/>
          <w:szCs w:val="24"/>
        </w:rPr>
      </w:pPr>
      <w:r w:rsidRPr="00A7261F">
        <w:rPr>
          <w:rFonts w:ascii="Times New Roman" w:hAnsi="Times New Roman" w:cs="Times New Roman"/>
          <w:sz w:val="24"/>
          <w:szCs w:val="24"/>
        </w:rPr>
        <w:t>Treasury note rate is a second cost method used by the United States government for security. The notes are as marketable as the bonds, though they possess different levels of risk. The note rates gain maturity in less than ten years. The government either issues the notes at a competitive bidding process or a non-competitive basis through a specified yield by the auctioneer. Those who prefer bidding are allowed to state the yield they need</w:t>
      </w:r>
      <w:r>
        <w:rPr>
          <w:rFonts w:ascii="Times New Roman" w:hAnsi="Times New Roman" w:cs="Times New Roman"/>
          <w:sz w:val="24"/>
          <w:szCs w:val="24"/>
        </w:rPr>
        <w:t xml:space="preserve"> (</w:t>
      </w:r>
      <w:r w:rsidRPr="00A7261F">
        <w:rPr>
          <w:rFonts w:ascii="Times New Roman" w:hAnsi="Times New Roman" w:cs="Times New Roman"/>
          <w:color w:val="222222"/>
          <w:sz w:val="24"/>
          <w:szCs w:val="24"/>
          <w:shd w:val="clear" w:color="auto" w:fill="FFFFFF"/>
        </w:rPr>
        <w:t>Hanso</w:t>
      </w:r>
      <w:r>
        <w:rPr>
          <w:rFonts w:ascii="Times New Roman" w:hAnsi="Times New Roman" w:cs="Times New Roman"/>
          <w:color w:val="222222"/>
          <w:sz w:val="24"/>
          <w:szCs w:val="24"/>
          <w:shd w:val="clear" w:color="auto" w:fill="FFFFFF"/>
        </w:rPr>
        <w:t>n &amp; Stein, 2015, P429)</w:t>
      </w:r>
      <w:r w:rsidRPr="00A7261F">
        <w:rPr>
          <w:rFonts w:ascii="Times New Roman" w:hAnsi="Times New Roman" w:cs="Times New Roman"/>
          <w:sz w:val="24"/>
          <w:szCs w:val="24"/>
        </w:rPr>
        <w:t>. The income yielded is taxed at the federal level, the same as that of the bonds.</w:t>
      </w:r>
    </w:p>
    <w:p w:rsidR="00A7261F" w:rsidRPr="00A7261F" w:rsidRDefault="00A7261F" w:rsidP="000420A3">
      <w:pPr>
        <w:spacing w:after="0" w:line="480" w:lineRule="auto"/>
        <w:ind w:firstLine="720"/>
        <w:jc w:val="both"/>
        <w:rPr>
          <w:rFonts w:ascii="Times New Roman" w:hAnsi="Times New Roman" w:cs="Times New Roman"/>
          <w:sz w:val="24"/>
          <w:szCs w:val="24"/>
        </w:rPr>
      </w:pPr>
      <w:r w:rsidRPr="00A7261F">
        <w:rPr>
          <w:rFonts w:ascii="Times New Roman" w:hAnsi="Times New Roman" w:cs="Times New Roman"/>
          <w:sz w:val="24"/>
          <w:szCs w:val="24"/>
        </w:rPr>
        <w:t>Treasury bond rate is better than the note rate. The bond rates have high stability. They contain a low risk, which makes them safe for any investor. Their flow of income is more predictable compared to the treasury notes. Though the bond rates change over time, investors are encouraged to invest in short term treasury bonds. When the interest rates have a high chance of falling, bonds are safer because the prices will later appreciate higher compared to notes.</w:t>
      </w:r>
    </w:p>
    <w:p w:rsidR="00A7261F" w:rsidRPr="00A7261F" w:rsidRDefault="00A7261F" w:rsidP="000420A3">
      <w:pPr>
        <w:spacing w:after="0" w:line="480" w:lineRule="auto"/>
        <w:ind w:firstLine="720"/>
        <w:jc w:val="both"/>
        <w:rPr>
          <w:rFonts w:ascii="Times New Roman" w:hAnsi="Times New Roman" w:cs="Times New Roman"/>
          <w:sz w:val="24"/>
          <w:szCs w:val="24"/>
        </w:rPr>
      </w:pPr>
      <w:r w:rsidRPr="00A7261F">
        <w:rPr>
          <w:rFonts w:ascii="Times New Roman" w:hAnsi="Times New Roman" w:cs="Times New Roman"/>
          <w:sz w:val="24"/>
          <w:szCs w:val="24"/>
        </w:rPr>
        <w:t xml:space="preserve">In a takeover, the acquiring company always has high expectations in getting some reasonable cash flow from the acquired company. However, it is advisable that the investor should consider the potential risks associated with the investment. Some firms have a high level of debts and low income. Such companies have high possibilities of experiencing low cash flows at the period of paying creditors. In such instances, the investors demand compensation for high risks. </w:t>
      </w:r>
      <w:r w:rsidRPr="00A7261F">
        <w:rPr>
          <w:rFonts w:ascii="Times New Roman" w:hAnsi="Times New Roman" w:cs="Times New Roman"/>
          <w:sz w:val="24"/>
          <w:szCs w:val="24"/>
        </w:rPr>
        <w:lastRenderedPageBreak/>
        <w:t xml:space="preserve">However, some acquiring companies have risks too. Some large and established firms have debts also. The acquiring company should weigh its cost of capital before deciding to acquire another firm. The acquiring firm should ensure that the target company has a predictable cash flow, to make reasonable capital budgets, </w:t>
      </w:r>
    </w:p>
    <w:p w:rsidR="00A7261F" w:rsidRPr="00A7261F" w:rsidRDefault="00A7261F" w:rsidP="000420A3">
      <w:pPr>
        <w:spacing w:after="0" w:line="480" w:lineRule="auto"/>
        <w:ind w:firstLine="720"/>
        <w:jc w:val="both"/>
        <w:rPr>
          <w:rFonts w:ascii="Times New Roman" w:hAnsi="Times New Roman" w:cs="Times New Roman"/>
          <w:sz w:val="24"/>
          <w:szCs w:val="24"/>
        </w:rPr>
      </w:pPr>
      <w:r w:rsidRPr="00A7261F">
        <w:rPr>
          <w:rFonts w:ascii="Times New Roman" w:hAnsi="Times New Roman" w:cs="Times New Roman"/>
          <w:sz w:val="24"/>
          <w:szCs w:val="24"/>
        </w:rPr>
        <w:t>The cost of capital measure for the target company should be used to determine whether or not to purchase the company. Valuation is crucial in both merger and acquisition. The value of stock and debts of a company determines the cash flow and risk posed</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Krüger et al., 2015, P1253)</w:t>
      </w:r>
      <w:r w:rsidRPr="00A7261F">
        <w:rPr>
          <w:rFonts w:ascii="Times New Roman" w:hAnsi="Times New Roman" w:cs="Times New Roman"/>
          <w:sz w:val="24"/>
          <w:szCs w:val="24"/>
        </w:rPr>
        <w:t xml:space="preserve">. The type of operation of the target company should also be evaluated because it determines the ability to pay the existing debts. </w:t>
      </w:r>
    </w:p>
    <w:p w:rsidR="003F393B" w:rsidRDefault="00A7261F" w:rsidP="000420A3">
      <w:pPr>
        <w:spacing w:after="0" w:line="480" w:lineRule="auto"/>
        <w:ind w:firstLine="720"/>
        <w:jc w:val="both"/>
        <w:rPr>
          <w:rFonts w:ascii="Times New Roman" w:hAnsi="Times New Roman" w:cs="Times New Roman"/>
          <w:sz w:val="24"/>
          <w:szCs w:val="24"/>
        </w:rPr>
      </w:pPr>
      <w:r w:rsidRPr="00A7261F">
        <w:rPr>
          <w:rFonts w:ascii="Times New Roman" w:hAnsi="Times New Roman" w:cs="Times New Roman"/>
          <w:sz w:val="24"/>
          <w:szCs w:val="24"/>
        </w:rPr>
        <w:t xml:space="preserve"> The acquiring company should analyze the significant cost of capital used by the target company. The investor should negotiate to get compensation for the risk if debt finance is high. The cost of money for the acquiring company does not matter more like that of the target company. As long as the acquiring firm can purchase and maintain the operations of the aimed business, then the source its finance does not matter much</w:t>
      </w:r>
    </w:p>
    <w:p w:rsidR="000420A3" w:rsidRDefault="000420A3">
      <w:pPr>
        <w:rPr>
          <w:rFonts w:ascii="Times New Roman" w:hAnsi="Times New Roman" w:cs="Times New Roman"/>
          <w:sz w:val="24"/>
          <w:szCs w:val="24"/>
        </w:rPr>
      </w:pPr>
      <w:r>
        <w:rPr>
          <w:rFonts w:ascii="Times New Roman" w:hAnsi="Times New Roman" w:cs="Times New Roman"/>
          <w:sz w:val="24"/>
          <w:szCs w:val="24"/>
        </w:rPr>
        <w:br w:type="page"/>
      </w:r>
    </w:p>
    <w:p w:rsidR="00300448" w:rsidRPr="00A7261F" w:rsidRDefault="00300448" w:rsidP="00300448">
      <w:pPr>
        <w:spacing w:after="0" w:line="480" w:lineRule="auto"/>
        <w:ind w:firstLine="720"/>
        <w:jc w:val="center"/>
        <w:rPr>
          <w:rFonts w:ascii="Times New Roman" w:hAnsi="Times New Roman" w:cs="Times New Roman"/>
          <w:sz w:val="24"/>
          <w:szCs w:val="24"/>
        </w:rPr>
      </w:pPr>
      <w:r w:rsidRPr="00A7261F">
        <w:rPr>
          <w:rFonts w:ascii="Times New Roman" w:hAnsi="Times New Roman" w:cs="Times New Roman"/>
          <w:sz w:val="24"/>
          <w:szCs w:val="24"/>
        </w:rPr>
        <w:lastRenderedPageBreak/>
        <w:t>References</w:t>
      </w:r>
    </w:p>
    <w:p w:rsidR="00A7261F" w:rsidRPr="00A7261F" w:rsidRDefault="00A7261F" w:rsidP="00A7261F">
      <w:pPr>
        <w:spacing w:after="0" w:line="480" w:lineRule="auto"/>
        <w:ind w:left="720" w:hanging="720"/>
        <w:rPr>
          <w:rFonts w:ascii="Times New Roman" w:hAnsi="Times New Roman" w:cs="Times New Roman"/>
          <w:color w:val="222222"/>
          <w:sz w:val="24"/>
          <w:szCs w:val="24"/>
          <w:shd w:val="clear" w:color="auto" w:fill="FFFFFF"/>
        </w:rPr>
      </w:pPr>
      <w:r w:rsidRPr="00A7261F">
        <w:rPr>
          <w:rFonts w:ascii="Times New Roman" w:hAnsi="Times New Roman" w:cs="Times New Roman"/>
          <w:color w:val="222222"/>
          <w:sz w:val="24"/>
          <w:szCs w:val="24"/>
          <w:shd w:val="clear" w:color="auto" w:fill="FFFFFF"/>
        </w:rPr>
        <w:t>Hanson, S. G., &amp; Stein, J. C. (2015). Monetary policy and long-term real rates. </w:t>
      </w:r>
      <w:r w:rsidRPr="00A7261F">
        <w:rPr>
          <w:rFonts w:ascii="Times New Roman" w:hAnsi="Times New Roman" w:cs="Times New Roman"/>
          <w:i/>
          <w:iCs/>
          <w:color w:val="222222"/>
          <w:sz w:val="24"/>
          <w:szCs w:val="24"/>
          <w:shd w:val="clear" w:color="auto" w:fill="FFFFFF"/>
        </w:rPr>
        <w:t>Journal of Financial Economics</w:t>
      </w:r>
      <w:r w:rsidRPr="00A7261F">
        <w:rPr>
          <w:rFonts w:ascii="Times New Roman" w:hAnsi="Times New Roman" w:cs="Times New Roman"/>
          <w:color w:val="222222"/>
          <w:sz w:val="24"/>
          <w:szCs w:val="24"/>
          <w:shd w:val="clear" w:color="auto" w:fill="FFFFFF"/>
        </w:rPr>
        <w:t>, </w:t>
      </w:r>
      <w:r w:rsidRPr="00A7261F">
        <w:rPr>
          <w:rFonts w:ascii="Times New Roman" w:hAnsi="Times New Roman" w:cs="Times New Roman"/>
          <w:i/>
          <w:iCs/>
          <w:color w:val="222222"/>
          <w:sz w:val="24"/>
          <w:szCs w:val="24"/>
          <w:shd w:val="clear" w:color="auto" w:fill="FFFFFF"/>
        </w:rPr>
        <w:t>115</w:t>
      </w:r>
      <w:r w:rsidRPr="00A7261F">
        <w:rPr>
          <w:rFonts w:ascii="Times New Roman" w:hAnsi="Times New Roman" w:cs="Times New Roman"/>
          <w:color w:val="222222"/>
          <w:sz w:val="24"/>
          <w:szCs w:val="24"/>
          <w:shd w:val="clear" w:color="auto" w:fill="FFFFFF"/>
        </w:rPr>
        <w:t>(3), 429-448.</w:t>
      </w:r>
    </w:p>
    <w:p w:rsidR="00A7261F" w:rsidRPr="00A7261F" w:rsidRDefault="00A7261F" w:rsidP="00A7261F">
      <w:pPr>
        <w:spacing w:after="0" w:line="480" w:lineRule="auto"/>
        <w:ind w:left="720" w:hanging="720"/>
        <w:rPr>
          <w:rFonts w:ascii="Times New Roman" w:hAnsi="Times New Roman" w:cs="Times New Roman"/>
          <w:sz w:val="24"/>
          <w:szCs w:val="24"/>
        </w:rPr>
      </w:pPr>
      <w:r w:rsidRPr="00A7261F">
        <w:rPr>
          <w:rFonts w:ascii="Times New Roman" w:hAnsi="Times New Roman" w:cs="Times New Roman"/>
          <w:color w:val="222222"/>
          <w:sz w:val="24"/>
          <w:szCs w:val="24"/>
          <w:shd w:val="clear" w:color="auto" w:fill="FFFFFF"/>
        </w:rPr>
        <w:t>Krüger, P., Landier, A., &amp; Thesmar, D. (2015). The WACC fallacy: The real effects of using a unique discount rate. </w:t>
      </w:r>
      <w:r w:rsidRPr="00A7261F">
        <w:rPr>
          <w:rFonts w:ascii="Times New Roman" w:hAnsi="Times New Roman" w:cs="Times New Roman"/>
          <w:i/>
          <w:iCs/>
          <w:color w:val="222222"/>
          <w:sz w:val="24"/>
          <w:szCs w:val="24"/>
          <w:shd w:val="clear" w:color="auto" w:fill="FFFFFF"/>
        </w:rPr>
        <w:t>The Journal of Finance</w:t>
      </w:r>
      <w:r w:rsidRPr="00A7261F">
        <w:rPr>
          <w:rFonts w:ascii="Times New Roman" w:hAnsi="Times New Roman" w:cs="Times New Roman"/>
          <w:color w:val="222222"/>
          <w:sz w:val="24"/>
          <w:szCs w:val="24"/>
          <w:shd w:val="clear" w:color="auto" w:fill="FFFFFF"/>
        </w:rPr>
        <w:t>, </w:t>
      </w:r>
      <w:r w:rsidRPr="00A7261F">
        <w:rPr>
          <w:rFonts w:ascii="Times New Roman" w:hAnsi="Times New Roman" w:cs="Times New Roman"/>
          <w:i/>
          <w:iCs/>
          <w:color w:val="222222"/>
          <w:sz w:val="24"/>
          <w:szCs w:val="24"/>
          <w:shd w:val="clear" w:color="auto" w:fill="FFFFFF"/>
        </w:rPr>
        <w:t>70</w:t>
      </w:r>
      <w:r w:rsidRPr="00A7261F">
        <w:rPr>
          <w:rFonts w:ascii="Times New Roman" w:hAnsi="Times New Roman" w:cs="Times New Roman"/>
          <w:color w:val="222222"/>
          <w:sz w:val="24"/>
          <w:szCs w:val="24"/>
          <w:shd w:val="clear" w:color="auto" w:fill="FFFFFF"/>
        </w:rPr>
        <w:t>(3), 1253-1285.</w:t>
      </w:r>
    </w:p>
    <w:p w:rsidR="00A7261F" w:rsidRPr="00A7261F" w:rsidRDefault="00A7261F">
      <w:pPr>
        <w:spacing w:after="0" w:line="480" w:lineRule="auto"/>
        <w:ind w:firstLine="720"/>
        <w:rPr>
          <w:rFonts w:ascii="Times New Roman" w:hAnsi="Times New Roman" w:cs="Times New Roman"/>
          <w:sz w:val="24"/>
          <w:szCs w:val="24"/>
        </w:rPr>
      </w:pPr>
    </w:p>
    <w:sectPr w:rsidR="00A7261F" w:rsidRPr="00A7261F" w:rsidSect="003004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BED" w:rsidRDefault="00F94BED" w:rsidP="00300448">
      <w:pPr>
        <w:spacing w:after="0" w:line="240" w:lineRule="auto"/>
      </w:pPr>
      <w:r>
        <w:separator/>
      </w:r>
    </w:p>
  </w:endnote>
  <w:endnote w:type="continuationSeparator" w:id="0">
    <w:p w:rsidR="00F94BED" w:rsidRDefault="00F94BED" w:rsidP="00300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BED" w:rsidRDefault="00F94BED" w:rsidP="00300448">
      <w:pPr>
        <w:spacing w:after="0" w:line="240" w:lineRule="auto"/>
      </w:pPr>
      <w:r>
        <w:separator/>
      </w:r>
    </w:p>
  </w:footnote>
  <w:footnote w:type="continuationSeparator" w:id="0">
    <w:p w:rsidR="00F94BED" w:rsidRDefault="00F94BED" w:rsidP="003004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32971287"/>
      <w:docPartObj>
        <w:docPartGallery w:val="Page Numbers (Top of Page)"/>
        <w:docPartUnique/>
      </w:docPartObj>
    </w:sdtPr>
    <w:sdtEndPr>
      <w:rPr>
        <w:noProof/>
      </w:rPr>
    </w:sdtEndPr>
    <w:sdtContent>
      <w:p w:rsidR="00300448" w:rsidRPr="00300448" w:rsidRDefault="00300448">
        <w:pPr>
          <w:pStyle w:val="Header"/>
          <w:rPr>
            <w:rFonts w:ascii="Times New Roman" w:hAnsi="Times New Roman" w:cs="Times New Roman"/>
            <w:sz w:val="24"/>
            <w:szCs w:val="24"/>
          </w:rPr>
        </w:pPr>
        <w:r w:rsidRPr="00300448">
          <w:rPr>
            <w:rFonts w:ascii="Times New Roman" w:hAnsi="Times New Roman" w:cs="Times New Roman"/>
            <w:sz w:val="24"/>
            <w:szCs w:val="24"/>
          </w:rPr>
          <w:t>COST OF CAPITAL</w:t>
        </w:r>
        <w:r>
          <w:rPr>
            <w:rFonts w:ascii="Times New Roman" w:hAnsi="Times New Roman" w:cs="Times New Roman"/>
            <w:sz w:val="24"/>
            <w:szCs w:val="24"/>
          </w:rPr>
          <w:t xml:space="preserve">                                                                                                                      </w:t>
        </w:r>
        <w:r w:rsidRPr="00300448">
          <w:rPr>
            <w:rFonts w:ascii="Times New Roman" w:hAnsi="Times New Roman" w:cs="Times New Roman"/>
            <w:sz w:val="24"/>
            <w:szCs w:val="24"/>
          </w:rPr>
          <w:t xml:space="preserve"> </w:t>
        </w:r>
        <w:r w:rsidRPr="00300448">
          <w:rPr>
            <w:rFonts w:ascii="Times New Roman" w:hAnsi="Times New Roman" w:cs="Times New Roman"/>
            <w:sz w:val="24"/>
            <w:szCs w:val="24"/>
          </w:rPr>
          <w:fldChar w:fldCharType="begin"/>
        </w:r>
        <w:r w:rsidRPr="00300448">
          <w:rPr>
            <w:rFonts w:ascii="Times New Roman" w:hAnsi="Times New Roman" w:cs="Times New Roman"/>
            <w:sz w:val="24"/>
            <w:szCs w:val="24"/>
          </w:rPr>
          <w:instrText xml:space="preserve"> PAGE   \* MERGEFORMAT </w:instrText>
        </w:r>
        <w:r w:rsidRPr="00300448">
          <w:rPr>
            <w:rFonts w:ascii="Times New Roman" w:hAnsi="Times New Roman" w:cs="Times New Roman"/>
            <w:sz w:val="24"/>
            <w:szCs w:val="24"/>
          </w:rPr>
          <w:fldChar w:fldCharType="separate"/>
        </w:r>
        <w:r w:rsidR="000420A3">
          <w:rPr>
            <w:rFonts w:ascii="Times New Roman" w:hAnsi="Times New Roman" w:cs="Times New Roman"/>
            <w:noProof/>
            <w:sz w:val="24"/>
            <w:szCs w:val="24"/>
          </w:rPr>
          <w:t>4</w:t>
        </w:r>
        <w:r w:rsidRPr="00300448">
          <w:rPr>
            <w:rFonts w:ascii="Times New Roman" w:hAnsi="Times New Roman" w:cs="Times New Roman"/>
            <w:noProof/>
            <w:sz w:val="24"/>
            <w:szCs w:val="24"/>
          </w:rPr>
          <w:fldChar w:fldCharType="end"/>
        </w:r>
      </w:p>
    </w:sdtContent>
  </w:sdt>
  <w:p w:rsidR="00300448" w:rsidRDefault="0030044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22545964"/>
      <w:docPartObj>
        <w:docPartGallery w:val="Page Numbers (Top of Page)"/>
        <w:docPartUnique/>
      </w:docPartObj>
    </w:sdtPr>
    <w:sdtEndPr>
      <w:rPr>
        <w:noProof/>
      </w:rPr>
    </w:sdtEndPr>
    <w:sdtContent>
      <w:p w:rsidR="00300448" w:rsidRPr="00300448" w:rsidRDefault="00300448" w:rsidP="00300448">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300448">
          <w:rPr>
            <w:rFonts w:ascii="Times New Roman" w:hAnsi="Times New Roman" w:cs="Times New Roman"/>
            <w:sz w:val="24"/>
            <w:szCs w:val="24"/>
          </w:rPr>
          <w:t>COST OF CAPITAL</w:t>
        </w:r>
        <w:r>
          <w:rPr>
            <w:rFonts w:ascii="Times New Roman" w:hAnsi="Times New Roman" w:cs="Times New Roman"/>
            <w:sz w:val="24"/>
            <w:szCs w:val="24"/>
          </w:rPr>
          <w:t xml:space="preserve">                                                                                             </w:t>
        </w:r>
        <w:r w:rsidRPr="00300448">
          <w:rPr>
            <w:rFonts w:ascii="Times New Roman" w:hAnsi="Times New Roman" w:cs="Times New Roman"/>
            <w:sz w:val="24"/>
            <w:szCs w:val="24"/>
          </w:rPr>
          <w:t xml:space="preserve"> </w:t>
        </w:r>
        <w:r w:rsidRPr="00300448">
          <w:rPr>
            <w:rFonts w:ascii="Times New Roman" w:hAnsi="Times New Roman" w:cs="Times New Roman"/>
            <w:sz w:val="24"/>
            <w:szCs w:val="24"/>
          </w:rPr>
          <w:fldChar w:fldCharType="begin"/>
        </w:r>
        <w:r w:rsidRPr="00300448">
          <w:rPr>
            <w:rFonts w:ascii="Times New Roman" w:hAnsi="Times New Roman" w:cs="Times New Roman"/>
            <w:sz w:val="24"/>
            <w:szCs w:val="24"/>
          </w:rPr>
          <w:instrText xml:space="preserve"> PAGE   \* MERGEFORMAT </w:instrText>
        </w:r>
        <w:r w:rsidRPr="00300448">
          <w:rPr>
            <w:rFonts w:ascii="Times New Roman" w:hAnsi="Times New Roman" w:cs="Times New Roman"/>
            <w:sz w:val="24"/>
            <w:szCs w:val="24"/>
          </w:rPr>
          <w:fldChar w:fldCharType="separate"/>
        </w:r>
        <w:r w:rsidR="000420A3">
          <w:rPr>
            <w:rFonts w:ascii="Times New Roman" w:hAnsi="Times New Roman" w:cs="Times New Roman"/>
            <w:noProof/>
            <w:sz w:val="24"/>
            <w:szCs w:val="24"/>
          </w:rPr>
          <w:t>1</w:t>
        </w:r>
        <w:r w:rsidRPr="00300448">
          <w:rPr>
            <w:rFonts w:ascii="Times New Roman" w:hAnsi="Times New Roman" w:cs="Times New Roman"/>
            <w:noProof/>
            <w:sz w:val="24"/>
            <w:szCs w:val="24"/>
          </w:rPr>
          <w:fldChar w:fldCharType="end"/>
        </w:r>
      </w:p>
    </w:sdtContent>
  </w:sdt>
  <w:p w:rsidR="00300448" w:rsidRDefault="003004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8FA"/>
    <w:rsid w:val="000420A3"/>
    <w:rsid w:val="000674CF"/>
    <w:rsid w:val="002F62F2"/>
    <w:rsid w:val="00300448"/>
    <w:rsid w:val="00352326"/>
    <w:rsid w:val="0037744F"/>
    <w:rsid w:val="003F393B"/>
    <w:rsid w:val="00406AC9"/>
    <w:rsid w:val="004A41AD"/>
    <w:rsid w:val="004F46EA"/>
    <w:rsid w:val="00696EED"/>
    <w:rsid w:val="006A1FFC"/>
    <w:rsid w:val="006C38FA"/>
    <w:rsid w:val="008569BD"/>
    <w:rsid w:val="008E7B65"/>
    <w:rsid w:val="0097580E"/>
    <w:rsid w:val="00A3698B"/>
    <w:rsid w:val="00A7261F"/>
    <w:rsid w:val="00A8168A"/>
    <w:rsid w:val="00B56A88"/>
    <w:rsid w:val="00B76119"/>
    <w:rsid w:val="00CD4068"/>
    <w:rsid w:val="00D17FB5"/>
    <w:rsid w:val="00DE20D9"/>
    <w:rsid w:val="00E0333F"/>
    <w:rsid w:val="00E3702E"/>
    <w:rsid w:val="00EB4141"/>
    <w:rsid w:val="00F21142"/>
    <w:rsid w:val="00F94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E5FEB"/>
  <w15:chartTrackingRefBased/>
  <w15:docId w15:val="{9B81504B-B2D6-4390-9BD3-BCC138430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04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448"/>
  </w:style>
  <w:style w:type="paragraph" w:styleId="Footer">
    <w:name w:val="footer"/>
    <w:basedOn w:val="Normal"/>
    <w:link w:val="FooterChar"/>
    <w:uiPriority w:val="99"/>
    <w:unhideWhenUsed/>
    <w:rsid w:val="003004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2019-04-11T08:21:00Z</dcterms:created>
  <dcterms:modified xsi:type="dcterms:W3CDTF">2019-04-11T08:21:00Z</dcterms:modified>
</cp:coreProperties>
</file>